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DC2D3" w14:textId="77777777" w:rsidR="00B15ECD" w:rsidRDefault="00B15ECD" w:rsidP="00B15ECD">
      <w:pPr>
        <w:ind w:firstLine="1296"/>
        <w:jc w:val="both"/>
        <w:rPr>
          <w:rFonts w:ascii="Arial" w:hAnsi="Arial" w:cs="Arial"/>
          <w:b/>
          <w:bCs/>
        </w:rPr>
      </w:pPr>
      <w:r w:rsidRPr="00A012C3">
        <w:rPr>
          <w:rFonts w:ascii="Arial" w:hAnsi="Arial" w:cs="Arial"/>
          <w:b/>
          <w:bCs/>
        </w:rPr>
        <w:t>USDA gruodžio mėn. padidino 2025–2026 m. kviečių, bet sumažino kitų grūdų derliaus prognozę pasaulyje</w:t>
      </w:r>
    </w:p>
    <w:p w14:paraId="37F804DA" w14:textId="77777777" w:rsidR="00B15ECD" w:rsidRPr="00A012C3" w:rsidRDefault="00B15ECD" w:rsidP="00B15ECD">
      <w:pPr>
        <w:ind w:firstLine="1296"/>
        <w:jc w:val="both"/>
        <w:rPr>
          <w:rFonts w:ascii="Arial" w:hAnsi="Arial" w:cs="Arial"/>
        </w:rPr>
      </w:pPr>
      <w:r w:rsidRPr="00A012C3">
        <w:rPr>
          <w:rFonts w:ascii="Arial" w:hAnsi="Arial" w:cs="Arial"/>
        </w:rPr>
        <w:t>JAV Žemės ūkio departamento (toliau – USDA) 2025 m. gruodžio mėn. prognozės duomenimis, 2025–2026 m. kviečių derliaus prognozė pasaulyje, palyginti su lapkričio mėn. derliaus prognoze, padidinta 8,92 mln. t ir turėtų sudaryti 837,81 mln. t. Kanadoje, kviečių derliaus prognozė padidinta 2,96 mln. t (iki 39,96 mln. t). Argentinoje, esant palankioms meteorologinėms sąlygoms, kviečių derliaus prognozė padidinta 2,0 mln. t (iki 24,0 mln. t), ypač Buenos Airėse, didžiausiame kviečių auginimo regione. ES kviečių derliaus prognozė padidinta 1,7 mln. t (iki 144,0 mln. t). Australijos ir Rusijos kviečių derliaus prognozė analizuojamu laikotarpiu padidinta po 1,0 mln. t – iki atitinkamai 37,0 ir 87,5 mln. t.</w:t>
      </w:r>
    </w:p>
    <w:p w14:paraId="40DEDDC3" w14:textId="77777777" w:rsidR="00B15ECD" w:rsidRPr="00A012C3" w:rsidRDefault="00B15ECD" w:rsidP="00B15ECD">
      <w:pPr>
        <w:ind w:firstLine="1296"/>
        <w:jc w:val="both"/>
        <w:rPr>
          <w:rFonts w:ascii="Arial" w:hAnsi="Arial" w:cs="Arial"/>
        </w:rPr>
      </w:pPr>
      <w:r w:rsidRPr="00A012C3">
        <w:rPr>
          <w:rFonts w:ascii="Arial" w:hAnsi="Arial" w:cs="Arial"/>
        </w:rPr>
        <w:t>USDA duomenimis, pasaulinio kviečių sunaudojimo 2025–2026 m. prognozė padidinta 4,07 mln. t ir turėtų sudaryti 822,97 mln. t. Kviečių sunaudojimo prognozė padidinta dėl laukiamo didesnio pašarų ir kitų kviečių sunaudojimo. Kviečių eksportas analizuojamu laikotarpiu pasaulyje turėtų padidėti 1,50 mln. t ir sudaryti 218,71 mln. t. Kviečių eksporto prognozė padidinta dėl numatomo didesnio Australijos, Kanados ir Argentinos eksporto, kuris turėtų daugiau nei kompensuoti sumažėjusią Turkijos ir Ukrainos kviečių prekybą.</w:t>
      </w:r>
    </w:p>
    <w:p w14:paraId="40EE4F04" w14:textId="77777777" w:rsidR="00B15ECD" w:rsidRPr="00A012C3" w:rsidRDefault="00B15ECD" w:rsidP="00B15ECD">
      <w:pPr>
        <w:ind w:firstLine="1296"/>
        <w:jc w:val="both"/>
        <w:rPr>
          <w:rFonts w:ascii="Arial" w:hAnsi="Arial" w:cs="Arial"/>
        </w:rPr>
      </w:pPr>
      <w:r w:rsidRPr="00A012C3">
        <w:rPr>
          <w:rFonts w:ascii="Arial" w:hAnsi="Arial" w:cs="Arial"/>
        </w:rPr>
        <w:t>Naujausiais USDA duomenimis, 2025–2026 m. kviečių atsargos pasaulyje turėtų padidėti 3,44 mln. t (iki 274,87 mln. t), daugiausia dėl prognozuojamų didesnių keleto eksportuojančių šalių atsargų.</w:t>
      </w:r>
    </w:p>
    <w:p w14:paraId="115A29BE" w14:textId="77777777" w:rsidR="00B15ECD" w:rsidRPr="00A012C3" w:rsidRDefault="00B15ECD" w:rsidP="00B15ECD">
      <w:pPr>
        <w:ind w:firstLine="1296"/>
        <w:jc w:val="both"/>
        <w:rPr>
          <w:rFonts w:ascii="Arial" w:hAnsi="Arial" w:cs="Arial"/>
        </w:rPr>
      </w:pPr>
      <w:r w:rsidRPr="00A012C3">
        <w:rPr>
          <w:rFonts w:ascii="Arial" w:hAnsi="Arial" w:cs="Arial"/>
        </w:rPr>
        <w:t>2025 m. gruodžio mėn. USDA prognozės duomenimis, 2025–2026 m. pasaulyje kitų grūdų (kukurūzų, sorgų, miežių, rugių, avižų, sorų ir grūdų mišinių) derliaus prognozė, palyginti su lapkričio mėn. prognoze, sumažinta 310 tūkst. t (iki 1,58 mlrd.  t). Kukurūzų derliaus prognozė pasaulyje gruodžio mėn. sumažinta 3,27 mln. t (iki 1,28 mlrd. t). Mažesnio kukurūzų derliaus laukiama Ukrainoje, Kanadoje, Nigerijoje, Indonezijoje ir Senegale. Minėtą sumažėjimą iš dalies turėtų kompensuoti laukiamas didesnis derlius ES, Rusijoje ir Zimbabvėje. ES kukurūzų derliaus prognozė padidinta dėl didesnio jų derliaus Ispanijoje, Vengrijoje, Rumunijoje ir Lenkijoje. Ukrainoje kukurūzų derlius prognozuojamas daug mažesnis dėl mažesnio pasėlių ploto ir nepalankių meteorologinių sąlygų pagrindinėse augimo vietovėse. Miežių derlius pasaulyje prognozuojamas didesnis dėl didesnio jų derliaus Kanadoje, ES ir Australijoje.</w:t>
      </w:r>
    </w:p>
    <w:p w14:paraId="4B0016F8" w14:textId="77777777" w:rsidR="00B15ECD" w:rsidRPr="00A012C3" w:rsidRDefault="00B15ECD" w:rsidP="00B15ECD">
      <w:pPr>
        <w:ind w:firstLine="1296"/>
        <w:jc w:val="both"/>
        <w:rPr>
          <w:rFonts w:ascii="Arial" w:hAnsi="Arial" w:cs="Arial"/>
        </w:rPr>
      </w:pPr>
      <w:r w:rsidRPr="00A012C3">
        <w:rPr>
          <w:rFonts w:ascii="Arial" w:hAnsi="Arial" w:cs="Arial"/>
        </w:rPr>
        <w:t>Pasaulinė kitų grūdų sunaudojimo prognozė 2025–2026 m., palyginti su prieš tai buvusia prognoze, padidinta 2,22 mln. t ir turėtų sudaryti 1,59 mlrd. t. Bendra 2025–2026 m. kitų grūdų eksporto prognozė analizuojamu laikotarpiu padidinta 1,96 mln. t (iki 249,27 mln. t),o importo – sumažinta 320 tūkst. t (iki 233,20 mln. t). Pagrindiniai kitų grūdų pasaulinės prekybos pokyčiai 2025–2026 m. apima didesnį kukurūzų eksportą iš JAV, bet mažesnį iš Ukrainos. Kukurūzų importo prognozė padidinta į Kolumbiją, o sumažinta – į ES ir Zimbabvę. Miežių eksporto apimtys analizuojamu laikotarpiu padidintos iš Australijos, Kanados ir ES, o sumažintos – iš Ukrainos.</w:t>
      </w:r>
    </w:p>
    <w:p w14:paraId="5D7E03BB" w14:textId="77777777" w:rsidR="00B15ECD" w:rsidRPr="00A012C3" w:rsidRDefault="00B15ECD" w:rsidP="00B15ECD">
      <w:pPr>
        <w:ind w:firstLine="1296"/>
        <w:jc w:val="both"/>
        <w:rPr>
          <w:rFonts w:ascii="Arial" w:hAnsi="Arial" w:cs="Arial"/>
        </w:rPr>
      </w:pPr>
      <w:r w:rsidRPr="00A012C3">
        <w:rPr>
          <w:rFonts w:ascii="Arial" w:hAnsi="Arial" w:cs="Arial"/>
        </w:rPr>
        <w:t>2025–2026 derliaus metų pabaigoje kitų grūdų atsargų prognozė sumažinta 1,04 mln. t ir turėtų sudaryti 309,76 mln. t. Iš jų – kukurūzų atsargų prognozė sumažinta 2,19 mln. t (iki 279,15 mln. t). Didesnės kukurūzų atsargos prognozuojamos Argentinoje. Kukurūzų atsargų padidėjimą dalinai turėtų kompensuoti laukiamos mažesnės jų atsargos Ukrainoje ir Kanadoje.</w:t>
      </w:r>
    </w:p>
    <w:p w14:paraId="2DD06C4B" w14:textId="04B44ED6" w:rsidR="00B15ECD" w:rsidRPr="00A012C3" w:rsidRDefault="00B15ECD" w:rsidP="00B15ECD">
      <w:pPr>
        <w:jc w:val="right"/>
        <w:rPr>
          <w:rFonts w:ascii="Arial" w:hAnsi="Arial" w:cs="Arial"/>
        </w:rPr>
      </w:pPr>
      <w:r w:rsidRPr="00864C29">
        <w:rPr>
          <w:rFonts w:ascii="Arial" w:hAnsi="Arial" w:cs="Arial"/>
          <w:sz w:val="20"/>
          <w:szCs w:val="20"/>
        </w:rPr>
        <w:t>Šaltini</w:t>
      </w:r>
      <w:r>
        <w:rPr>
          <w:rFonts w:ascii="Arial" w:hAnsi="Arial" w:cs="Arial"/>
          <w:sz w:val="20"/>
          <w:szCs w:val="20"/>
        </w:rPr>
        <w:t>s</w:t>
      </w:r>
      <w:r w:rsidRPr="00864C29">
        <w:rPr>
          <w:rFonts w:ascii="Arial" w:hAnsi="Arial" w:cs="Arial"/>
          <w:sz w:val="20"/>
          <w:szCs w:val="20"/>
        </w:rPr>
        <w:t xml:space="preserve">: </w:t>
      </w:r>
      <w:r>
        <w:rPr>
          <w:rFonts w:ascii="Arial" w:hAnsi="Arial" w:cs="Arial"/>
          <w:sz w:val="20"/>
          <w:szCs w:val="20"/>
        </w:rPr>
        <w:t>USDA</w:t>
      </w:r>
    </w:p>
    <w:p w14:paraId="5957887A" w14:textId="77777777" w:rsidR="00DD64C1" w:rsidRDefault="00DD64C1"/>
    <w:sectPr w:rsidR="00DD64C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CD"/>
    <w:rsid w:val="00B15ECD"/>
    <w:rsid w:val="00DD64C1"/>
    <w:rsid w:val="00F03C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2D8D"/>
  <w15:chartTrackingRefBased/>
  <w15:docId w15:val="{5327F860-61BD-4AF4-8457-C5F58536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ECD"/>
    <w:pPr>
      <w:spacing w:line="259" w:lineRule="auto"/>
    </w:pPr>
    <w:rPr>
      <w:sz w:val="22"/>
      <w:szCs w:val="22"/>
    </w:rPr>
  </w:style>
  <w:style w:type="paragraph" w:styleId="Heading1">
    <w:name w:val="heading 1"/>
    <w:basedOn w:val="Normal"/>
    <w:next w:val="Normal"/>
    <w:link w:val="Heading1Char"/>
    <w:uiPriority w:val="9"/>
    <w:qFormat/>
    <w:rsid w:val="00B15EC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EC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EC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EC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15EC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15EC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15EC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15EC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15EC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E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E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E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ECD"/>
    <w:rPr>
      <w:rFonts w:eastAsiaTheme="majorEastAsia" w:cstheme="majorBidi"/>
      <w:color w:val="272727" w:themeColor="text1" w:themeTint="D8"/>
    </w:rPr>
  </w:style>
  <w:style w:type="paragraph" w:styleId="Title">
    <w:name w:val="Title"/>
    <w:basedOn w:val="Normal"/>
    <w:next w:val="Normal"/>
    <w:link w:val="TitleChar"/>
    <w:uiPriority w:val="10"/>
    <w:qFormat/>
    <w:rsid w:val="00B15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EC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EC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15ECD"/>
    <w:rPr>
      <w:i/>
      <w:iCs/>
      <w:color w:val="404040" w:themeColor="text1" w:themeTint="BF"/>
    </w:rPr>
  </w:style>
  <w:style w:type="paragraph" w:styleId="ListParagraph">
    <w:name w:val="List Paragraph"/>
    <w:basedOn w:val="Normal"/>
    <w:uiPriority w:val="34"/>
    <w:qFormat/>
    <w:rsid w:val="00B15ECD"/>
    <w:pPr>
      <w:spacing w:line="278" w:lineRule="auto"/>
      <w:ind w:left="720"/>
      <w:contextualSpacing/>
    </w:pPr>
    <w:rPr>
      <w:sz w:val="24"/>
      <w:szCs w:val="24"/>
    </w:rPr>
  </w:style>
  <w:style w:type="character" w:styleId="IntenseEmphasis">
    <w:name w:val="Intense Emphasis"/>
    <w:basedOn w:val="DefaultParagraphFont"/>
    <w:uiPriority w:val="21"/>
    <w:qFormat/>
    <w:rsid w:val="00B15ECD"/>
    <w:rPr>
      <w:i/>
      <w:iCs/>
      <w:color w:val="0F4761" w:themeColor="accent1" w:themeShade="BF"/>
    </w:rPr>
  </w:style>
  <w:style w:type="paragraph" w:styleId="IntenseQuote">
    <w:name w:val="Intense Quote"/>
    <w:basedOn w:val="Normal"/>
    <w:next w:val="Normal"/>
    <w:link w:val="IntenseQuoteChar"/>
    <w:uiPriority w:val="30"/>
    <w:qFormat/>
    <w:rsid w:val="00B15EC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15ECD"/>
    <w:rPr>
      <w:i/>
      <w:iCs/>
      <w:color w:val="0F4761" w:themeColor="accent1" w:themeShade="BF"/>
    </w:rPr>
  </w:style>
  <w:style w:type="character" w:styleId="IntenseReference">
    <w:name w:val="Intense Reference"/>
    <w:basedOn w:val="DefaultParagraphFont"/>
    <w:uiPriority w:val="32"/>
    <w:qFormat/>
    <w:rsid w:val="00B15E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ed3995c-6b14-493c-bcc2-f2b49a597150}" enabled="1" method="Standard" siteId="{3c29631f-027a-4aec-98d1-be0cc888301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2203</Words>
  <Characters>1256</Characters>
  <Application>Microsoft Office Word</Application>
  <DocSecurity>0</DocSecurity>
  <Lines>10</Lines>
  <Paragraphs>6</Paragraphs>
  <ScaleCrop>false</ScaleCrop>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Pyrantienė</dc:creator>
  <cp:keywords/>
  <dc:description/>
  <cp:lastModifiedBy>Daiva Pyrantienė</cp:lastModifiedBy>
  <cp:revision>1</cp:revision>
  <dcterms:created xsi:type="dcterms:W3CDTF">2026-01-19T09:47:00Z</dcterms:created>
  <dcterms:modified xsi:type="dcterms:W3CDTF">2026-01-19T09:48:00Z</dcterms:modified>
</cp:coreProperties>
</file>