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jc w:val="right"/>
        <w:rPr>
          <w:color w:val="222222"/>
          <w:sz w:val="33"/>
          <w:szCs w:val="33"/>
          <w:highlight w:val="white"/>
        </w:rPr>
      </w:pPr>
      <w:bookmarkStart w:colFirst="0" w:colLast="0" w:name="_korz3y5w6hqi" w:id="0"/>
      <w:bookmarkEnd w:id="0"/>
      <w:r w:rsidDel="00000000" w:rsidR="00000000" w:rsidRPr="00000000">
        <w:rPr>
          <w:color w:val="222222"/>
          <w:sz w:val="33"/>
          <w:szCs w:val="33"/>
          <w:highlight w:val="white"/>
          <w:rtl w:val="0"/>
        </w:rPr>
        <w:t xml:space="preserve">Viščiukų broilerių skerdenų ir gabalų pardavimo vidutinės didmeninės (gamintojų) kainos Lietuvos įmonėse EUR/100 kg (be PVM) 2020 m. 22–25 sav.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2020 m. 22–25 sav. (2020 m. gegužės 25–birželio 21 d.)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731200" cy="8255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825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*lyginant 2020 m. 25 savaitę su 24 savaite</w:t>
        <w:br w:type="textWrapping"/>
        <w:t xml:space="preserve">**lyginant 2020 m. 25 savaitę su 2019 m. 25 savaite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Pastaba: vidutinės kainos skaičiuojamos svertiniu būdu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 (LŽŪMPRIS)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