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center"/>
        <w:rPr>
          <w:color w:val="222222"/>
          <w:sz w:val="33"/>
          <w:szCs w:val="33"/>
          <w:highlight w:val="white"/>
        </w:rPr>
      </w:pPr>
      <w:bookmarkStart w:colFirst="0" w:colLast="0" w:name="_tgae51ndm0ur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Vidutinės paukščių pardavimo kainos Lietuvos paukštininkystės įmonėse ir ūkiuose 2020 m. birželio – rugpjūčio mėn., EUR/vnt. ir EUR/kg (be PVM)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12192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219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*parduota skerdimui</w:t>
        <w:br w:type="textWrapping"/>
        <w:t xml:space="preserve">● – konfidenicalūs duomenys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