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5k1rb3m7rbwf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Lietuvos įmonėse pagamintų paukštienos gaminių pardavimas 2020 m. sausio–vasario mėn., t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2247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247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2020 m. vasario mėn. su sausio mėn.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