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f7r2vwpc8x6c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41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41 savaitę dyzelinas Armėnijoje pabrango 7,5 proc., Lenkijoje–3,6 proc., Kroatijoje–2,3 proc., o Turkijoje atpigo 8,1 proc.</w:t>
        <w:br w:type="textWrapping"/>
        <w:t xml:space="preserve">Per analizuojamą laikotarpį (2023 m. 39–41 savaites) dyzelinas Afganistane pabrango 14,3 proc., Armėnijoje–11,4 proc., Jordanijoje–7,6 proc., o Argentinoje atpigo 20,4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39–41 savaitėmis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ŽŪDC (LŽŪMPRIS)</w:t>
        <w:br w:type="textWrapping"/>
        <w:t xml:space="preserve">Naudojant ŽŪDC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