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nbur2hqgylx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40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40¬¬ savaitę dyzelinas Afganistane pabrango 14,3 proc., Jordanijoje–7,6 proc., Ukrainoje–6,3 proc., o Argentinoje atpigo 19,5 proc.</w:t>
        <w:br w:type="textWrapping"/>
        <w:t xml:space="preserve">Per analizuojamą laikotarpį (2023 m. 38–40 savaites) dyzelinas Afganistane pabrango 20,4 proc., Jordanijoje–7,6 proc., Ukrainoje–6,8 proc., o Argentinoje atpigo 16,5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38–40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909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