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p2imv4s73949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2023 m. 4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2023 m. 4­­ savaitę dyzelinas Maroke pabrango 33,0 proc., Argentinoje–6,1 proc., Šiaurės Makedonijoje–3,8 proc., o Saudo Arabijoje atpigo 5,3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(2023 m. 2–4 savaites) dyzelinas Turkijoje pabrango 7,3 proc., Liuksemburge – 6,2 proc., Lietuvoje – 5,6 proc., o Saudo Arabijoje atpigo 5,3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  <w:rtl w:val="0"/>
        </w:rPr>
        <w:t xml:space="preserve">Degalų kainos ES ir kitų šalių rinkose 2023 m. 2–4 savaitėmis.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b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b w:val="1"/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378200" cy="76200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78200" cy="762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