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jxreuksr9e5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35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35 savaitę dyzelinas Brazilijoje pabrango 10,5 proc., Suomijoje–8,2 proc., Kroatijoje–4,4 proc., o Indijoje atpigo 0,7 proc.</w:t>
        <w:br w:type="textWrapping"/>
        <w:t xml:space="preserve">Per analizuojamą laikotarpį (2023 m. 33–35 savaites) dyzelinas Brazilijoje pabrango 21,4 proc., Suomijoje–14,0 proc., Maroke–9,0 proc., o Moldovoje atpigo 0,3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33–35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