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uwpz71tn0ih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34 savaitę dyzelinas Brazilijoje pabrango 9,9 proc., Maroke–9,0 proc., Armėnijoje–8,5 proc., o Šiaurės Makedonijoje atpigo 1,2 proc.</w:t>
        <w:br w:type="textWrapping"/>
        <w:t xml:space="preserve">Per analizuojamą laikotarpį (2023 m. 32–34 savaites) dyzelinas Argentinoje pabrango 15,1 proc., Brazilijoje ir Maroke–9,0 proc., Armėnijoje–8,5 proc., o Vokietijoje atpigo 1,7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32–34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