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oisrov36gc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33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33 savaitę dyzelinas Argentinoje pabrango 15,1 proc., Moldovoje–7,4 proc., Pakistane–7,3 proc., o Danijoje atpigo 2,3 proc.</w:t>
        <w:br w:type="textWrapping"/>
        <w:t xml:space="preserve">Per analizuojamą laikotarpį (2023 m. 31–33 savaites) dyzelinas Argentinoje pabrango 20,9 proc., Juodkalnijoje–10,8 proc., Australijoje–8,6 proc., o Maroke atpigo 12,9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31–33 savaitėmis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