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487moxjgi2x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32 savaitę dyzelinas Australijoje pabrango 9,1 proc., Vengrijoje–7,8 proc., Bosnijoje-Hercegovinoje–7,1 proc., o Maroke atpigo 12,9 proc.</w:t>
        <w:br w:type="textWrapping"/>
        <w:t xml:space="preserve">Per analizuojamą laikotarpį (2023 m. 30–32 savaites) dyzelinas Čekijoje pabrango 17,1 proc., Uzbekistane–13,5 proc., Turkijoje–13,3 proc., o Maroke atpigo 12,3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30–32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