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fjrrn3la20y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28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28 savaitę dyzelinas Argentinoje pabrango 12,3 proc., Švedijoje–4,8 proc., Vengrijoje–4,3 proc., o Šveicarijoje atpigo 6,7 proc.</w:t>
        <w:br w:type="textWrapping"/>
        <w:t xml:space="preserve">Per analizuojamą laikotarpį (2023 m. 26–28 savaites) dyzelinas Turkijoje pabrango 7,6 proc., Ukrainoje–7,4 proc., Nyderlanduose–7,1 proc., o Jordanijoje atpigo 7,2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26–28 savaitėmis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