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daexg387njz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27 savaitę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27 savaitę dyzelinas Nyderlanduose pabrango 6,0 proc., Ukrainoje–5,8 proc., Kipre–5,7 proc., o Argentinoje atpigo 13,9 proc.</w:t>
        <w:br w:type="textWrapping"/>
        <w:t xml:space="preserve">Per analizuojamą laikotarpį (2023 m. 25–27 savaites) dyzelinas Kipre pabrango 8,0 proc., Nyderlanduose–6,0 proc., Ukrainoje–5,8 proc., o Argentinoje atpigo 14,0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25–27 savaitėmis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Šaltinis – ŽŪDC (LŽŪMPRIS)</w:t>
        <w:br w:type="textWrapping"/>
        <w:t xml:space="preserve">Naudojant ŽŪDC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