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cceug4lr5wa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25 savaitę dyzelinas Turkijoje pabrango 7,0 proc., Argentinoje–6,0 proc., Lietuvoje–5,4 proc., o Australijoje atpigo 1,9 proc.</w:t>
        <w:br w:type="textWrapping"/>
        <w:t xml:space="preserve">Per analizuojamą laikotarpį (2023 m. 23–25 savaites) dyzelinas Turkijoje pabrango 10,7 proc., Lietuvoje–7,9 proc., Argentinoje–6,0 proc., o Kinijoje atpigo 3,5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23–25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