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89w1d8mxsuwg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24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24 savaitę dyzelinas Turkijoje pabrango 3,4 proc., Kroatijoje–2,8 proc., Lietuvoje–2,4 proc. o Maroke atpigo 2,5 proc.</w:t>
        <w:br w:type="textWrapping"/>
        <w:t xml:space="preserve">Per analizuojamą laikotarpį (2023 m. 22–24 savaites) dyzelinas Argentinoje pabrango 8,9 proc., Naujojoje Zelandijoje–3,9 proc., Norvegijoje–3,8 proc., o Jordanijoje atpigo 5,3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2023 m. 22–24 savaitėmis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65500" cy="7620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Šaltinis – ŽŪDC (LŽŪMPRIS)</w:t>
        <w:br w:type="textWrapping"/>
        <w:t xml:space="preserve">Naudojant ŽŪDC (LŽŪMPRIS) duomenis, būtina nurodyti šaltinį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