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b571pmbox23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23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23 savaitę dyzelinas Argentinoje pabrango 8,9 proc., Norvegijoje–3,5 proc., Švedijoje–3,3 proc. o Jordanijoje atpigo 5,3 proc.</w:t>
        <w:br w:type="textWrapping"/>
        <w:t xml:space="preserve">Per analizuojamą laikotarpį (2023 m. 21–23 savaites) dyzelinas Kazachstane pabrango 5,7 proc., Uzbekistane–4,4 proc., Moldovoje–4,2 proc., o Turkijoje atpigo 7,2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21–23 savaitėmis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