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mz38a0q1k9b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21 savaitę dyzelinas Armėnijoje pabrango 19,0 proc., Turkijoje–4,1 proc., Prancūzijoje–3,0 proc. o Naujojoje Zelandijoje atpigo 4,4 proc.</w:t>
        <w:br w:type="textWrapping"/>
        <w:t xml:space="preserve">Per analizuojamą laikotarpį (2023 m. 19–21 savaites) dyzelinas Armėnijoje pabrango 19,0 proc., Egipte–13,8 proc., Latvijoje–4,5 proc., o Afganistane atpigo 17,6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19–21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4036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