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qqm18yfsutgj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19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19 savaitę dyzelinas Kazachstane pabrango 15,4 proc., Švedijoje–3,4 proc., Meksikoje–2,2 proc. o Mongolijoje atpigo 9,2 proc.</w:t>
        <w:br w:type="textWrapping"/>
        <w:t xml:space="preserve">Per analizuojamą laikotarpį (2023 m. 17–19 savaites) dyzelinas Kazachstane pabrango 12,5 proc., Jungtiniuose Arabų Emyratuose–3,8 proc., Meksikoje–2,2 proc., o Latvijoje atpigo 9,5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17–19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909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ŽŪDC (LŽŪMPRIS)</w:t>
        <w:br w:type="textWrapping"/>
        <w:t xml:space="preserve">Naudojant ŽŪDC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