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h6lt0tj07uc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50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50­­ savaitę benzinas A-95 Rumunijoje pabrango 32,3 proc., Liuksemburge–5,9 proc., Belgijoje–4,3 proc., o Turkijoje atpigo 22,4 proc. Dyzelinas analizuojamu laikotarpiu Turkijoje pabrango 11,7 proc., Kroatijoje–5,7 proc., Norvegijoje–4,2 proc.,  o Šiaurės Makedonijoje atpigo 5,6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48–50 savaites) benzinas A-95 Rumunijoje pabrango 32,3 proc., Belgijoje–3,0 proc., Norvegijoje–2,8 proc., o Turkijoje atpigo 10,3 proc. Dyzelinas Turkijoje analizuojamu laikotarpiu pabrango 11,7 proc., Kroatijoje–5,7 proc., Norvegijoje–4,2 proc., o Šiaurės Makedonijoje atpigo 5,6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48–50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