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l0jeosa51jz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49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49­­ savaitę benzinas A-95 Turkijoje pabrango 15,5 proc., Švedijoje–3,1 proc., Danijoje ir Prancūzijoje–2,4 proc., o Liuksemburge atpigo 7,5 proc. Dyzelinas analizuojamu laikotarpiu Turkijoje pabrango 11,7 proc., Kroatijoje–5,7 proc., Norvegijoje–4,2 proc.,  o Šiaurės Makedonijoje atpigo 5,6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47–49 savaites) benzinas A-95 Turkijoje pabrango 11,7 proc., Sakartvele–4,5 proc., Armėnijoje–3,2 proc., o Liuksemburge atpigo 11,1 proc. Dyzelinas Turkijoje analizuojamu laikotarpiu pabrango 9,8 proc., Sakartvele–4,7 proc., Armėnijoje–3,4 proc., o Šiaurės Makedonijoje atpigo 7,3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47–49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