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z3jx78nvp1v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30­­ savaitę benzinas A-95 Brazilijoje pabrango 35,2 proc., Norvegijoje–13,1 proc.,  Armėnijoje–3,8 proc., o Čilėje atpigo 1,9 proc. Dyzelinas analizuojamu laikotarpiu Brazilijoje pabrango 35,1 proc., Armėnijoje–8,3 proc., Norvegijoje–6,2 proc., o Prancūzijoje atpigo 7,0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28–30 savaites) benzinas A-95 Brazilijoje pabrango 35,2 proc., Norvegijoje–15,3 proc., Armėnijoje–5,1 proc., o Japonijoje atpigo 6,9 proc. Dyzelinas analizuojamu laikotarpiu Brazilijoje pabrango 37,5 proc., Norvegijoje–8,5 proc., Armėnijoje–5,4 proc., o Danijoje atpigo 8,1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28–30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95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9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