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vwlw4zklsuqx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15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15­­ savaitę benzinas A-95 Rumunijoje pabrango 16,1 proc., Prancūzijoje–3,9 proc., Švedijoje–2,6 proc., o Suomijoje atpigo 1,8 proc. Dyzelinas analizuojamu laikotarpiu Prancūzijoje pabrango 8,7 proc., Šiaurės Makedonijoje–5,6 proc., Baltarusijoje–1,6 proc., o Armėnijoje atpigo 3,3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13–15 savaites) benzinas A-95 Rumunijoje pabrango 16,1 proc., Lenkijoje–2,7 proc., Švedijoje ir Prancūzijoje–2,6 proc., o Lietuvoje atpigo 2,4 proc. Dyzelinas analizuojamu laikotarpiu Prancūzijoje pabrango 6,4 proc., Šiaurės Makedonijoje–5,6 proc., Latvijoje–1,7 proc., o Lietuvoje atpigo 3,6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13–15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