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249kjpq6t6hn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1 savaitę benzinas A-95 Argentinoje pabrango 10,9 proc., Vokietijoje–9,9 proc., Armėnijoje–7,3 proc., o Baltarusijoje atpigo 3,4 proc. Dyzelinas analizuojamu laikotarpiu Vokietijoje pabrango 11,9 proc., Argentinoje–10,2 proc., Liuksemburge–7,1 proc., o Brazilijoje atpigo 3,6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(2020 m. 52–2021 m. 1 savaites) benzinas A-95 Vokietijoje pabrango 9,9 proc., Čilėje–7,3 proc., Liuksemburge–5,6 proc., o Moldovoje atpigo 3,8 proc. Dyzelinas analizuojamu laikotarpiu Vokietijoje pabrango 11,9 proc., Čilėje–9,3 proc., Liuksemburge–7,1 proc., o Baltarusijoje atpigo 3,4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2020 m. 52–2021 m. 1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57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5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