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jc w:val="right"/>
        <w:rPr>
          <w:color w:val="222222"/>
          <w:sz w:val="33"/>
          <w:szCs w:val="33"/>
          <w:highlight w:val="white"/>
        </w:rPr>
      </w:pPr>
      <w:bookmarkStart w:colFirst="0" w:colLast="0" w:name="_cy56zk1019c6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Ant kraiko laikomų vištų kiaušinių pardavimo vidutinės didmeninės kainos Lietuvos įmonėse EUR/100 vnt. (be PVM) 2020 m. 6–9 sav.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2020 m. 6–9 sav. (2020 m. vasario 3–kovo 1 d.)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346700" cy="1346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467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2020 m. 9 savaitę su 8 savaite</w:t>
        <w:br w:type="textWrapping"/>
        <w:br w:type="textWrapping"/>
        <w:t xml:space="preserve">Pastaba: vidutinės kainos skaičiuojamos svertiniu būdu</w:t>
        <w:br w:type="textWrapping"/>
        <w:br w:type="textWrapping"/>
        <w:t xml:space="preserve">Šaltinis: ŽŪIKVC (LŽŪMPRIS)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