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dy31mgo3phi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vasario mėn. Lietuvoje daržovių buvo supirkta daugiau, o bulvių – mažiau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iš Lietuvos augintojų didmeninės ir mažmeninės prekybos ir kitose įmonėse 2020 m. vasario mėn., palyginti su 2019 m. atitinkamu laikotarpiu, supirkta 2,00 proc. mažiau, t. y. 3 063,929 t. Perdirbti skirtų bulvių supirkta 10,14 proc. mažiau – 593,732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šviežias, 2020 m. vasario mėn., palyginti su 2019 m. vasario mėn., supirkta 20,38 proc. daugiau, t. y. 4 092,739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padidėjo 3,02 karto (iki 248,873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1,95 karto (iki 31,304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33,05 proc. (iki 44,130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25,75 proc. (iki 1 011,315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21,23 proc. (iki 1 351,040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17,34 proc. (iki 1 023,615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15,69 proc. (iki 29,505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24,45 proc. (iki 328,468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Daržovių derlius 2019 m. mažiau nukentėjo nuo sausros, todėl šiemet jų supirkimas yra didesnis.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vasario mėn., palyginti su 2019 m. atitinkamu laikotarpiu, supirkta 16,27 proc. mažiau (159,759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5,06 karto mažiau (239,218 t), nes. dėl mažo obuolių derliaus 2019 m. jų realizacija jau baigiasi.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vasario mėn., palyginti su 2019 m. vasario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1,12 proc. (iki 2 602,972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12,47 proc. (iki 31,108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7,07 proc. (iki 2 412,752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2,36 karto mažiau (91,320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12,20 proc. mažiau (66,974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