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85o667min9zd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2020 m. rugsėjo mėn. Lietuvoje bulvių ir daržovių šviežiam vartojimui buvo supirkta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2020 m. rugsėjo mėn., palyginti su 2019 m. atitinkamu laikotarpiu, supirkta 9,40 proc. daugiau, t. y. 6 269,205 t. Perdirbti skirtų bulvių supirkta 27,65 proc. mažiau – 501,840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2020 m. rugsėjo  mėn., palyginti su 2019 m. rugsėjo mėn., supirkta 14,83 proc. daugiau, t. y. 6 074,232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47,44 proc. (iki 372,342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42,44 proc. (iki 1 140,875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kininių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38,23 proc. (iki 28,207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26,73 proc. (iki 1 116,663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16,64 proc. (iki 43,540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baltagūžių kopūstų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15,17 proc. (iki 1 401,754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raudongūžių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5,30 proc. (iki 26,963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35,64 proc. mažiau (24,517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cukinijų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25,44 proc. mažiau (19,119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pomidorų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12,78 proc. mažiau (636,252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10,18 proc. mažiau (978,439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kai kurių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žalumyninių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salotų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74,10 proc. (iki 146,859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krapų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15,97 proc. (iki 10,136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špinatų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10,52 proc. (iki 11,387 t). 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ir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lapinių petražolių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mažiau, atitinkamai 13,35 proc. (15,258 t) ir 10,89 proc. (4,736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2020 m. rugsėjo mėn., palyginti su 2019 m. atitinkamu laikotarpiu, supirkta 11,29 proc. daugiau (161,304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šiemet buvo supirkta 11,27 proc. daugiau (337,252 t), 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braškių –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2,05 karto daugiau(41,640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2020 m. rugsėjo mėn., palyginti su 2019 m. rugsėjo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36,20 proc. (iki 2 748,516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ų supirkimas padidėjo 2,26 karto (iki 77,496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 –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61,01 proc. (iki 124,500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47,08 proc. (iki 2 489,366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kitų daržovių (agurkų, salotų, krapų, lapkotinių salierų ir kt.)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buvo supirkta 7,69 karto mažiau (21,093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30,16 proc. mažiau (36,061 t).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perdirbti, šiemet buvo supirkta 35,54 proc. daugiau (16 495,011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įvairių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uogų (aviečių, aronijų, šaltalankių)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34,92 proc. daugiau (35,950 t).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