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3qjof1iunty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2020 m. rugpjūčio mėn. Lietuvoje bulvių ir daržovių buvo supirkta mažiau, tačiau obuolių – daugiau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Bulvių,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skirtų šviežias vartoti, iš Lietuvos augintojų didmeninės ir mažmeninės prekybos ir kitose įmonėse 2020 m. rugpjūčio mėn., palyginti su 2019 m. atitinkamu laikotarpiu, supirkta 11,93 proc. mažiau, t. y. 3 599,052 t. Perdirbti skirtų bulvių supirkta 38,45 proc. mažiau – 435,933 t.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Daržovių,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skirtų vartoti šviežias, 2020 m. rugpjūčio  mėn., palyginti su 2019 m. rugpjūčio mėn., supirkta 5,28 proc. mažiau, t. y. 4 863,593 t.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Lapkotinių salierų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sumažėjo2,2 karto (iki 15,546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cukinijų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42,55 proc. (iki 52,408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pomidorų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36,35 proc. (iki 561,590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porų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33,83 proc. (iki 21,582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burokėlių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29,71 proc. (iki 137,870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 –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27,41 proc. (iki 496,433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11,82 proc. (iki 768,612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buvo supirkta 24,59 proc. daugiau (1 220,533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raudongūžių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17,20 proc. daugiau (19,470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agurkų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16,13 proc. daugiau (1 299,989 t). Lauko daržovių derlius šiemet prasidėjo vėliau, todėl jų supirkimas buvo mažesnis.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Nagrinėjamu laikotarpiu daugelio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žalumyninių 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padidėjo: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lapinių petražolių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50,81 proc. (iki 9,073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salotų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18,45 proc. (iki 165,092 t),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svogūnų laiškų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14,09 proc. (iki 32,784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krapų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 3,87 proc. (iki 14,599 t). 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špinatų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14,26 proc. mažiau (9,712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Pievagrybių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vartoti šviežius, 2020 m. rugpjūčio mėn., palyginti su 2019 m. atitinkamu laikotarpiu, supirkta 20,02 proc. mažiau (129,317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Prasidėjus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derliui, kuris šiemet prognozuojamas didesnis nei prieš metus, jų buvo supirkta 2,68 karto daugiau (195,741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Braškių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šiemet buvo 45,46 proc. didesnis ir sudarė 80,873 t.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Perdirbimo įmonėse 2020 m. rugpjūčio mėn., palyginti su 2019 m. rugpjūčio mėn.,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daržovių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supirkimas sumažėjo 12,98 proc. (iki 1 935,669 t).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Kitų daržovių (agurkų, salotų, krapų, lapkotinių salierų ir kt.)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supirkimas sumažėjo 6,48 karto (iki 45,072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burokėlių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– 5,03 proc. (iki 1 749,462 t). Tačiau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svogūnų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supirkta 3,02 karto daugiau (37,887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baltagūžių kopūstų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2,43 karto daugiau (34,514 t),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morkų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– 8,61 proc. daugiau (68,734 t).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Obuolių ir uogų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, skirtų perdirbti, supirkimas sumažėjo 19,30 proc. (iki 1 878,689 t), nes šiemet vėliau prasidėjo obuolių supirkimas perdirbimui.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