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a9ky4lfbuwus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2020 m. liepos mėn. Lietuvoje bulvių ir daržovių buvo supirkta mažiau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Bulvių,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skirtų šviežias vartoti, iš Lietuvos augintojų didmeninės ir mažmeninės prekybos ir kitose įmonėse 2020 m. liepos mėn., palyginti su 2019 m. atitinkamu laikotarpiu, supirkta 8,07 proc. mažiau, t. y. 3 509,061 t. Perdirbti skirtų bulvių supirkta 36,05 proc. mažiau – 340,137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Daržovių,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skirtų vartoti šviežias, 2020 m. liepos mėn., palyginti su 2019 m. liepos mėn., supirkta 10,85 proc. mažiau, t. y. 3 801,412 t.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Lapkotinių salierų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sumažėjo4,59 karto (iki 6,469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cukinijų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2,13 karto (iki 32,422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pomidorų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29,23 proc. (iki 703,836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12,58 proc. (iki 114,266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8,32 proc. (iki 982,312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agurkų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6,72 proc. (iki 1 529,375 t).  Tik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padidėjo22,70 proc. (iki 141,918 t),nes  jie dar buvo superkami ir seno derliaus. Lauko daržovių derlius šiemet prasidėjo vėliau, todėl jų supirkimas buvo mažesnis.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Nagrinėjamu laikotarpiu daugelio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žalumyninių 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padidėjo: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krapų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 50,24 proc. (iki 12,363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špinatų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7,71 proc. (iki 10,810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salotų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3,05 proc. (iki 129,848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svogūnų laiškų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0,36 proc. (iki 29,404 t). Tik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lapinių petražolių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25,98 proc. mažiau (5,790 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Pievagrybių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vartoti šviežius, 2020 m. liepos mėn., palyginti su 2019 m. atitinkamu laikotarpiu, supirkta 15,17 proc. mažiau (156,009 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Braškių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supirkimas šiemet buvo 20,65 didesnis ir sudarė 59,701 t. Perdirbimo įmonėse 2020 m. liepos mėn., palyginti su 2019 m. liepos mėn.,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sumažėjo net 8,64 karto (iki 147,429 t), nes šiemet nebuvo superkami burokėliai perdirbimui, kadangi dėl pernai buvusio didelio derliaus jie dar buvo superkami birželio mėn.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