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pfrn9tlijn0m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2020 m. lapkričio mėn. Lietuvoje bulvių ir daržovių supirkimas perdirbimui toliau mažėjo, o šviežiam vartojimui – šiek tiek didėjo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Bulvių,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skirtų šviežias vartoti, iš Lietuvos augintojų didmeninės ir mažmeninės prekybos ir kitose įmonėse 2020 m. lapkričio mėn., palyginti su 2019 m. atitinkamu laikotarpiu, supirkta 10,46 proc. daugiau, t. y. 3 829,497 t. Perdirbti skirtų bulvių supirkta net 38,29 proc. mažiau – 419,261 t.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Daržovių,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skirtų vartoti šviežias, 2020 m. lapkričio  mėn., palyginti su 2019 m. lapkričio mėn., supirkta 2,95 proc. daugiau, t. y. 4 630,671 t.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Česnakų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 2,89 karto (iki 15,327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baltagūžių kopūstų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– 28,45 proc. (iki 1 798,444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salierų gumbų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14,31 proc. (iki 10,605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morkų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5,34 proc. (iki 1 096,281 t). Tačiau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salotų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sumažėjo 2,21 karto (iki 23,251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burokėlių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22,36 proc. (iki 178,344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kininių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–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21,11 proc. (iki 39,053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svogūnų –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18,81 proc. (iki 840,084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svogūnų laiškų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– 16,77 proc. (iki 14,579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agurkų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15,41 proc. (iki 248,742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porų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10,76 proc. (iki 38,530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raudongūžių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7,81 proc. (iki 22,553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pomidorų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7,60 proc. (iki 248,591 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Pievagrybių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, skirtų vartoti šviežius, 2020 m. lapkričio mėn., palyginti su 2019 m. atitinkamu laikotarpiu, supirkta 25,07 proc. daugiau (182,289 t).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Obuolių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šiemet buvo supirkta 10,69 proc. mažiau (453,245 t).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Perdirbimo įmonėse 2020 m. lapkričio mėn., palyginti su 2019 m. lapkričio mėn.,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daržovių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sumažėjo 25,67 proc. (iki 1 969,643 t).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Burokėlių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supirkimas sumažėjo 30,65 proc. (iki 1 656,942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baltagūžių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23,33 proc. (iki 55,238 t). Tačiau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svogūn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ų buvo supirkta 71,14 proc. daugiau (139,593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morkų –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7,30 proc. daugiau (113,779 t).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