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civ859590qkz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2020 m. gegužės mėn. Lietuvoje bulvių šviežiam vartojimui ir perdirbimui buvo supirkta daugiau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Bulvių,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skirtų šviežias vartoti, iš Lietuvos augintojų didmeninės ir mažmeninės prekybos ir kitose įmonėse 2020 m. gegužės mėn., palyginti su 2019 m. atitinkamu laikotarpiu, supirkta 60,04 proc. daugiau, t. y. 2 725,287 t. Perdirbti skirtų bulvių supirkta 55,87 proc. daugiau – 354,886 t.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Daržovių,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skirtų vartoti šviežias, 2020 m. gegužės mėn., palyginti su 2019 m. gegužės mėn., supirkta 0,75 proc. daugiau, t. y. 4 185,783 t.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Baltagūžių kopūstų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buvo supirkta 394,360 t (prieš metus tik 1,275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svogūnų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supirkimas padidėjo2,25 karto (iki 280,816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morkų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13,74 proc. (iki 202,073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špinatų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4,86 proc. (iki 1,208 t). Tačiau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pomidorų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sumažėjo 20,73 proc. (iki 702,906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burokėlių –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15,13 proc. (iki 227,147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svogūnų laiškų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– 12,99 proc. (iki 40,906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agurkų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12,52 proc. (iki 2 232,005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salotų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0,86 proc. (iki 80,300 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Pievagrybių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, skirtų vartoti šviežius, 2020 m. gegužės mėn., palyginti su 2019 m. atitinkamu laikotarpiu, supirkta 1,37 proc. daugiau (160,800 t).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Braškių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supirkimas šiemet buvo 2,35 karto didesnis ir sudarė 26,385 t, nes jų derlius šiltnamiuose šiemet prasidėjo anksčiau. Pirmos braškės jau buvo skinamas balandžio pabaigoje. Šiemet anksti pasibaigus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obuolių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atsargoms, jų buvo supirkta tik 79,584 t, o prieš metus – 820,229 t.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Perdirbimo įmonėse 2020 m. gegužės mėn., palyginti su 2019 m. gegužės mėn.,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daržovių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 net 94,49 proc. (iki 2 487,416 t), nes dėl didesnio derliaus praėjusiais metais ir sumažėjusio daržovių poreikio perdirbimui karantino laikotarpiu, jų atsargų šiemet užteko ilgiau, o kai kurių buvo netgi ir per daug. Todėl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svogūnų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 22,40 proc. (iki 43,293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burokėlių –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91,77 proc. (iki 2 277,398 t). 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Morkų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buvo supirkta 109,605 t,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baltagūžių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40,394 t, kai tuo pačiu laikotarpiu prieš metus morkų ir kopūstų buvo supirkta labai mažai.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