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qcuy25x7q56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2020 m. balandžio mėn. Lietuvoje bulvių ir daržovių šviežiam vartojimui buvo supirkta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2020 m. balandžio mėn., palyginti su 2019 m. atitinkamu laikotarpiu, supirkta 30,04 proc. daugiau, t. y. 2 985,171 t. Perdirbti skirtų bulvių supirkta 27,81 proc. mažiau – 309,739 t, nes dėl karantino uždarius darželius, mokyklas, kavines, restoranus sumažėjo perdirbtų bulvių poreikis.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2020 m. balandžio mėn., palyginti su 2019 m. balandžio mėn., supirkta 25,35 proc. daugiau, t. y. 4 720,074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padidėjo20 kartų (iki 643,009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4 kartus (iki 689,248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salotų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20,20 proc. (iki 57,294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13,30 proc. (iki 1 196,243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2,09 karto (iki 136,799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39,29 proc. (iki 244,027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4,16 proc. (iki 40,420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1,72 proc. (iki 1 683,062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Kopūstų ir svogūnų atsargos 2019 m. pavasarį dėl buvusio mažo derliaus pasibaigė labai anksti, o šiemet jų atsargų užteko kaip įprasta ilgiau, todėl ir supirkta didesni kiekiai. Pomidorų derlius šį pavasarį prasidėjo dviem savaitėm vėliau, todėl ir supirkimas buvo mažesnis.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2020 m. balandžio mėn., palyginti su 2019 m. atitinkamu laikotarpiu, supirkta 21,27 proc. mažiau (143,635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2020 m. balandžio mėn., palyginti su 2019 m. balandžio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24,34 proc. (iki 2 211,494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2,14 karto (iki 50,073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59,15 proc. (iki 37,447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burokėlių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26,60 proc. (iki 2 055,023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buvo supirkta 36,48 proc. mažiau (68,533 t).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