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gj3xmeyl39z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spalio mėn. Lietuvoje šviežiam vartojimui bulvių ir daržovių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iš Lietuvos augintojų didmeninės ir mažmeninės prekybos ir kitose įmonėse 2019 m. spalio mėn., palyginti su 2018 m. atitinkamu laikotarpiu, supirkta 26,37 proc. daugiau, t. y. 4 754,760 t. Perdirbti skirtų bulvių supirkta 3,50 proc. mažiau – 796,153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2019 m. spalio mėn., palyginti su 2018 m. spalio mėn., supirkta 11,22 proc. daugiau, t. y. 5 539,590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59,18 proc. (iki 689,309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55,91 proc. (iki 1 170,385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41,73 proc. (iki 34,739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19,36 proc. (iki 39,484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13,74 proc. (iki 1 138,068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2,09 karto (iki 303,041 t, nes jie nebuvo superkami eksportui ir šviežiam vartojimui jų supirkta daug mažiau),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5,99 proc. (iki 1 117,563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5,84 proc. (iki 28,418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2,68 proc. (iki 42,316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0,14 proc. (iki 674,948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5,08 karto (iki 7,886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1,99 karto (iki 4,845 t), salotų – 11,04 proc. (iki 49,638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4,71 proc. (iki 16,269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8,42 proc. mažiau (5,294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šviežius vartoti, 2019 m. spalio mėn., palyginti su 2018 m. atitinkamu laikotarpiu, supirkta 20,66 proc. mažiau (143,978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52,75 proc. daugiau (528,681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2019 m. spalio mėn., palyginti su 2018 m. spalio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tik 0,35 proc. (iki 2 307,538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24,25 proc. (iki 49,287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4,02 proc. (iki 2 007,706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tiek pat – 107,858 t.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32,11 proc. mažiau (72,799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kitų daržovių (salotų, lapkotinių salierų ir kt.)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39,08 proc. mažiau (69,888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perdirbti, supirkimas sumažėjo 2,43 karto (iki 7 247,084 t).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