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dqn31j1iv34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rugsėjo mėn. Lietuvoje šviežiam vartojimui bulvių ir daržovių buvo supirkta mažiau, o obuolių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iš Lietuvos augintojų didmeninės ir mažmeninės prekybos ir kitose įmonėse 2019 m. rugsėjo mėn., palyginti su 2018 m. atitinkamu laikotarpiu, supirkta 8,44 proc. mažiau, t. y. 5 693,519 t. Perdirbti skirtų bulvių supirkta 13,64 proc. daugiau – 693,593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2019 m. rugsėjo mėn., palyginti su 2018 m. rugsėjo mėn., supirkta 9,07 proc. mažiau, t. y. 5 341,889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2,45 karto (iki 226,478 t, nes jie nebuvo superkami eksportui, o taip pat ir šviežiam vartojimui jų supirkta daug mažiau),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kininių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42,54 proc. (iki 20,406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21,13 proc. (iki 25,644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21,09 proc. (iki 879,098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19,88 proc. (iki 30,705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10,17 proc. (iki 742,886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5,83 proc. (iki 37,328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0,43 proc. (iki 1 087,002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22,49 proc. daugiau (808,871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7,73 proc. daugiau (38,094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2,02 proc. daugiau (1 270,951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3,75 karto (iki 10,303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25,53 proc. (iki 5,315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3,13 proc. (iki 17,608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16,79 proc. (iki 86,596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2,92 proc. (iki 8,7403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šviežius vartoti, 2019 m. rugsėjo mėn., palyginti su 2018 m. atitinkamu laikotarpiu, supirkta 26,81 proc. mažiau (144,934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19,45 proc. daugiau (303,093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2019 m. rugsėjo mėn., palyginti su 2018 m. rugsėjo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2,54 proc. (iki 2 016,957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2,1 karto (iki 33,280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4,25 proc. (iki 1 692,483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Tačiau baltagūžių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kopūstų buvo supirkta 1,98 karto daugiau (51,635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27,48 proc. daugiau (77,323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kitų daržovių (agurkų, salotų, lapkotinių salierų, krapų ir kt.)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11,73 proc. daugiau (162,236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perdirbti, supirkimas sumažėjo 1,86 karto (iki 12 170,180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uogų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4,04 karto (iki 26,053 t), nes obuolių ir uogų derlius šiemet labai nukentėjo nuo pavasarinių šalnų.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