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c72lzptpahu1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2019 m. liepos mėn. Lietuvoje šviežiam vartojimui bulvių ir daržovių buvo supirkta mažiau, o perdirbimui – daugiau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Bulvių,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skirtų šviežias vartoti, iš Lietuvos augintojų didmeninės ir mažmeninės prekybos ir kitose įmonėse 2019 m. liepos mėn., palyginti su 2018 m. atitinkamu laikotarpiu, supirkta 7,25 proc. mažiau, t. y. 3 817,138 t. Perdirbti skirtų bulvių supirkta 8,64 proc. daugiau – 531,911 t.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Daržovių,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skirtų šviežias vartoti, 2019 m. liepos mėn., palyginti su 2018 m. liepos mėn., supirkta 23,73 proc. mažiau, t. y. 4 263,867 t. Lauko daržovių derlius šiemet prasidėjo vėliau, todėl jų supirkimas buvo mažesnis: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svogūnų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10,25 karto (16,148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morkų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42,85 proc. (130,716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burokėlių –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37,05 proc.(115,667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cukinijų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34,17 proc. (69,173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baltagūžių kopūstų –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14,49 proc. (1 071,511 t).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Agurkų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ir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pomidor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ų supirkimas sumažėjo, atitinkamai 17,44 proc. (iki 1 639,500 t) ir 29,33 proc. (iki 1 010,970 t). Šiltnamiuose auginamų agurkų deklaruoti plotai šiemet sumažėjo 9,14 proc., pomidorų – 19,47 proc. Tik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lapkotinių salierų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šiemet buvo supirkta 7,54 proc. daugiau (29,722 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Nagrinėjamu laikotarpiu 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žalumyninių daržovių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kito įvairiai: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špinatų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ir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lapinių petražolių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padidėjo, atitinkamai 4,37 karto (iki 10,036 t) ir 2,3 karto (iki 7,822 t), nes praėjusiais metais jų buvo supirkta labai mažai. Tačiau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salotų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buvo supirkta 20,71 proc. mažiau (109,616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svogūnų laiškų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–  14,49 proc. mažiau (29,298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krapų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– 11,34 proc. mažiau (8,229 t).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Pievagrybių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, skirtų šviežius vartoti, 2019 m. liepos mėn., palyginti su 2018 m. atitinkamu laikotarpiu, supirkta 10,94 proc. mažiau (183,903 t).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Braškių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supirkimas šiemet buvo 54,62 proc. didesnis ir sudarė 49,481 t.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Perdirbimo įmonėse 2019 m. liepos mėn., palyginti su 2018 m. liepos mėn.,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daržovių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 26,32 proc. (iki 1 273,528 t). ). Tai lėmė 46,16 proc. (iki 998,513 t) padidėjęs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burokėlių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supirkimas, kuris nuolat didėja dėl augančios jų paklausos. Tačiau kitų daržovių supirkimas perdirbimui, dėl anksčiau minėtų priežasčių, šiuo laikotarpiu sumažėjo: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svogūnų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2,94 karto (iki 6,637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morkų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1,95 karto (iki 16,853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agurkų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35,19 proc. (iki 22,112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kitų daržovių (kopūstų, salotų lapkotinių salierų, krapų ir kt.)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– 3,79 proc. (iki 229,413 t).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Uogų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, skirtų perdirbti, supirkimas sumažėjo 3,58 karto (iki 250,194 t).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Juodųjų serbentų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buvo supirkta 4,13 karto mažiau (186,518 t). Uogų derlius šiemet labai nukentėjo nuo pavasarinių šalnų.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