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39zk25xngsam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2019 m. lapkričio mėn. Lietuvoje šviežiam vartojimui ir perdirbimui daržovių buvo supirkta daugiau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Bulvių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, skirtų šviežias vartoti, iš Lietuvos augintojų didmeninės ir mažmeninės prekybos ir kitose įmonėse 2019 m. lapkričio mėn., palyginti su 2018 m. atitinkamu laikotarpiu, supirkta 15,72 proc. daugiau, t. y. 3 466,927 t. Perdirbti skirtų bulvių supirkta 15,89 proc. mažiau – 679,436 t.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Daržovių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, skirtų šviežias vartoti, 2019 m. lapkričio mėn., palyginti su 2018 m. lapkričio mėn., supirkta 6,18 proc. daugiau, t. y. 4 498,049 t.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Kininių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 4,17 karto (iki 49,501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agurkų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2,44 karto (iki 294,051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porų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2,03 karto (iki 43,175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salotų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56,93 proc. (iki 51,247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svogūnų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31,56 proc. (iki 1 034,689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svogūnų laiškų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20,87 proc. (iki 17,517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baltagūžių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6,50 proc. (iki 1 400,113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morkų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2,15 proc. (iki 1 040,746 t). Tačiau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burokėlių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sumažėjo 42,68 proc. (iki 229,715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pomidorų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36,36 proc. (iki 269,030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salierų gumbų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8,08 proc. (iki 9,277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raudongūžių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7,15 proc. (iki 24,463 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Pievagrybių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, skirtų šviežius vartoti, 2019 m. lapkričio mėn., palyginti su 2018 m. atitinkamu laikotarpiu, supirkta 21,86 proc. mažiau (145,751 t).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Obuolių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buvo supirkta 3,49 proc. mažiau (507,469 t).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Perdirbimo įmonėse 2019 m. lapkričio mėn., palyginti su 2018 m. lapkričio mėn.,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daržovių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 25,15 proc. (iki 2 649,780 t).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Burokėlių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 38,62 proc. (iki 2 389,404 t). Kitų daržovių supirkimas sumažėjo: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svogūnų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28,13 proc.(iki 81,566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morkų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22,84 proc. (iki 106,041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baltagūžių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11,75 proc. (iki 72,045 t).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D. Reipienė, tel. (8 37) 39 74 49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