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jffdwp4oumrz" w:id="0"/>
      <w:bookmarkEnd w:id="0"/>
      <w:r w:rsidDel="00000000" w:rsidR="00000000" w:rsidRPr="00000000">
        <w:rPr>
          <w:color w:val="222222"/>
          <w:sz w:val="33"/>
          <w:szCs w:val="33"/>
          <w:rtl w:val="0"/>
        </w:rPr>
        <w:t xml:space="preserve">2019 m. I ketvirčio ES paukštienos importo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sausio–kovo mėn. ES paukštienos importas, palyginti su 2018 m. tuo pačiu laikotarpiu, padidėjo 13 proc. ir sudarė 225,729 tūkst. t, kurio vertė sudarė 560 mln. EUR – 10,4 proc. daugiau, palyginti su 2018 m. tuo pačiu laikotarpiu. Paukštienos importo paklausą lėmė šiais metais I ketvirtį sumažėję paukštienos skerdimai Ispanijoje, Prancūzijoje, Jungtinėje Karalystėje ir Lenkijoje. Analizuojamu laikotarpiu ES paukštienos importas iš Brazilijos sudarė 38 proc., Tailando – 37,5 proc., Ukrainos – 14 proc. 2019 m. Europos Komisija planuoja padidinti Ukrainos importo kvotą nuo dabartinių 20 tūkst. t iki 70 tūkst. t vištienos krūtinėlės be kaulo su sąlyga, kad Ukrainos pati didžiausia paukštininkystės bendrovė MHP, turėdama savo filialus ES valstybės narėse, nustos be muito mokesčio parduoti vištienos krūtinėles su kaulu Europoje esančiomis perdirbimo įmonėmis, tuo būdu gaudama aukštesnės pridėtinės vertės produktą.</w:t>
        <w:br w:type="textWrapping"/>
        <w:t xml:space="preserve">Per 2019 m. sausio–kovo mėn. Kinijos paukštienos eksportas į ES, palyginti su 2018 m. tuo pačiu laikotarpiu, padidėjo 26 proc. (iki 7,856 tūkst. t), o Čilės – 14 (iki 13,242 tūkst. t). Tuo pačiu laikotarpiu Argentinos importas į ES sumažėjo 34 proc. (iki 1,870 tūkst. t). Kitų šalių paukštienos importas analizuojamu laikotarpiu į ES sudarė 0,8 proc. viso ES paukštienos importo kiekio.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 EK</w:t>
        <w:br w:type="textWrapping"/>
        <w:t xml:space="preserve">Parengė : D. Špokaitė,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