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kcynlsbrxuf6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2018-08-24 2018 m. II ketvirtį Lietuvos įmonėse padidėjo paukštienos gamyba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LŽŪMPRIS duomenimis, 2018 m. balandžio–birželio mėn. Lietuvos įmonėse buvo paskersta 14,43 mln. paukščių ir pagaminta 27,840 tūkst. t paukštienos skerdenų. Paukščių skerdimų skaičius 2018 m. II ketvirtį, palyginti su I ketvirčiu, padidėjo 4,8 proc., tačiau buvo 3,2 proc. mažesnis nei prieš metus. Iš to skaičiaus broilerių skerdimai analizuojamu laikotarpiu sudarė 14,18 mln. vnt. – 2,9 proc. daugiau nei praėjusių metų tuo pačiu laikotarpiu. Kalakutų skerdimai analizuojamu laikotarpiu sudarė 132,698 tūkst. vnt. – 4,8 proc. daugiau nei tuo pačiu praėjusių metų laikotarpiu.</w:t>
        <w:br w:type="textWrapping"/>
        <w:t xml:space="preserve">Paukštienos gamyba, vertinant pagal skerdenų svorį, 2018 m. II ketvirtį sudarė 27 840 t – 7,6 proc. daugiau nei prieš metus. Iš to skaičiaus broilerių skerdenų gamyba padidėjo 4,4 proc. (iki 26 357 t), o kalakutienos pagaminta 1,6 proc. mažiau (1 288,97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ŽŪIKVC(LŽŪMPRIS)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