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m8e4yjmsupar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2018-07-12 Galvijų supirkimo kainos* Europos Sąjungos valstybėse 2018 m. 23–26 sav., EUR/100 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533900" cy="97012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97012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*vidutinės kainos apskaičiuotos iš atrankinių EK teikiamų duomenų: A kategorijos – U2, U3, R2, R3, O2, O3 klasių; B kategorijos – R3 klasės; D kategorijos – R3, R4, O2, O3, O4, P2, P3 klasių; E kategorijos – U2, U3, R2, R3, R4, O2, O3, O4 klasių; Z kategorijos – U2, U3, R2, R3, O2, O3 klasių.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2018 m. 26 savaitę su 2018 m. 25 savaite</w:t>
        <w:br w:type="textWrapping"/>
        <w:t xml:space="preserve">*** lyginant 2018 m. 26 savaitę su 2017 m. 26 savaite</w:t>
        <w:br w:type="textWrapping"/>
        <w:t xml:space="preserve">● – konfidencialūs duomenys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Komisija, ŽŪIKVC (LŽŪMPRIS)</w:t>
        <w:br w:type="textWrapping"/>
        <w:t xml:space="preserve">Parengė V. Žičiūtė, tel. (8 37) 39 78 05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