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1.7391304347826" w:lineRule="auto"/>
        <w:jc w:val="right"/>
        <w:rPr>
          <w:color w:val="222222"/>
          <w:sz w:val="33"/>
          <w:szCs w:val="33"/>
          <w:highlight w:val="white"/>
        </w:rPr>
      </w:pPr>
      <w:bookmarkStart w:colFirst="0" w:colLast="0" w:name="_qowidhahizkd" w:id="0"/>
      <w:bookmarkEnd w:id="0"/>
      <w:r w:rsidDel="00000000" w:rsidR="00000000" w:rsidRPr="00000000">
        <w:rPr>
          <w:color w:val="222222"/>
          <w:sz w:val="33"/>
          <w:szCs w:val="33"/>
          <w:highlight w:val="white"/>
          <w:rtl w:val="0"/>
        </w:rPr>
        <w:t xml:space="preserve">2018-05-17 Galvijų supirkimo kainos* Europos Sąjungos valstybėse 2018 m. 15–18 sav., EUR/100 kg skerdenų (be PVM)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4324350" cy="96631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663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18 savaitę su 2018 m. 17 savaite</w:t>
        <w:br w:type="textWrapping"/>
        <w:t xml:space="preserve">*** lyginant 2018 m. 18 savaitę su 2017 m. 18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(LŽŪMPRIS)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l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