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Nors šiemet ilgavaisiai agurkai buvo auginami ištisus metus, o trumpavaisiai pradėti skinti jau sausio mėn., tačiau jų kainos taip greitai nesumažėjo kaip praėjusiais metais. Gegužės pradžioje mėn. ilgavaisiai agurkai kainavo 1,30–1,70 EUR/kg, o trumpavaisiai – 1,55–1,70 EUR/kg, tai atitinkamai 67 proc. ir 35 proc. didesnės kainos, palyginti su 2017 m. tuo pačiu laikotarpiu. Tai lėmė, kad šiemet taip pat yra didesnės agurkų kainos Lenkijoje ir kitose Europos šalyse.</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Parengė D. Reipienė, tel. (8 37) 39 74 49</w:t>
      </w:r>
    </w:p>
    <w:p w:rsidR="00000000" w:rsidDel="00000000" w:rsidP="00000000" w:rsidRDefault="00000000" w:rsidRPr="00000000" w14:paraId="00000003">
      <w:pPr>
        <w:rPr>
          <w:color w:val="666666"/>
          <w:sz w:val="24"/>
          <w:szCs w:val="24"/>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