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d2g0o01kpnss" w:id="0"/>
      <w:bookmarkEnd w:id="0"/>
      <w:r w:rsidDel="00000000" w:rsidR="00000000" w:rsidRPr="00000000">
        <w:rPr>
          <w:color w:val="222222"/>
          <w:sz w:val="33"/>
          <w:szCs w:val="33"/>
          <w:rtl w:val="0"/>
        </w:rPr>
        <w:t xml:space="preserve">„Stratégie Grains“ padidino 2022–2023 m. Europos kviečių derliaus prognozę</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Prancūzijos analitikų „Strategie Grains“ sausio mėn. duomenimis, 2022–2023 m. kviečių derlius ES šalyse turėtų sudaryti 127,7 mln. t, tai būtų 1,0 mln. t daugiau nei buvo prognozuota anksčiau, bet 2,1 mln. t mažiau, palyginti su 2021–2022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Vakarų ir Vidurio Europoje oro sąlygos nuo 2021 m. rudens yra palankios žieminių kviečių pasėliams vystytis, nepaisant kritulių trūkumo kai kuriose Ispanijos dalyse. Mažiau palankios oro sąlygos buvo pietryčių Europoje (ypač Rumunijoje).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„Stratégie Grains“ analitikai 2021–2022 m. su-mažino minkštųjų kviečių eksporto iš ES prognozę dėl didelės Argentinos ir Juodosios jūros regiono šalių (ypač Alžyro) konkurencijos iki 31,2 mln. t (2021 m. gruodį  buvo prognozuota 31,5 mln.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Zol.ru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