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</w:rPr>
      </w:pPr>
      <w:bookmarkStart w:colFirst="0" w:colLast="0" w:name="_x300sh62a3js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Viščiukų broilerių skerdenų ir gabalų pardavimo vidutinės didmeninės (gamintojų) kainos Lietuvos įmonėse EUR/100 kg (be PVM) 2020 m. 51–2021 m. 1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83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2021 m. 1 savaitę su 2020 m. 53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2021 m. 1 savaitę su 2021 m. 1 savaitę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*Pastaba: vidutinės kainos skaičiuojamos svertiniu būdu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