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Šiais metais per sausio – rugpjūčio mėn. Lietuvoje buvo pagaminta 698,20 tūkst. t kombinuotųjų pašarų ir premiksų,  0,1 proc. (762  t) mažiau, lyginant su 2020 m. tuo pačiu laikotarpiu. Per aštuonis šių metų mėn., lyginant su praėjusių metų tuo pačiu laikotarpiu, mišinių galvijams ir mišinių kiaulėms gamyba padidėjo atitinkamai 9,6 proc. (18,56 tūkst. t) ir 2,2 proc. (3,11 t). Analizuojamu laikotarpiu premiksų ir mišinių naminiams paukščiams gamyba sumažėjo atitinkamai 0,7 proc. (25 t) ir 14,4 proc. (33,68 t), o kačių ir šunų ėdalo bei premiksų – didėjo, atitinkamai 11,5 proc. (7,74 tūkst. t) ir 13,4 proc. (1,58 tūkst. t). Šių metų sausio – rugpjūčio mėn., lyginant su 2020 m. tuo pačiu laikotarpiu, kitų, niekur kitur nepriskirtų mišinių (10.91.10.39.00) gamyba padidėjo 4,4 proc. (1,94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Per aštuonis šių metų mėn. buvo parduota 483,60 tūkst. t kombinuotųjų pašarų ir premiksų, iš to skaičiaus 62,9 proc. (304,42 tūkst. t) sudarė pardavimai vidaus rinkoje, 27,6 proc. (133,35 tūkst. t) – eksportas į ES šalis ir 9,5 proc. (45,82 tūkst. t) – eksportas į trečiąsias šalis. Lyginant šių metų sausio – rugpjūčio mėn. su praėjusių metų tuo pačiu laikotarpiu, kombinuotųjų pašarų ir premiksų pardavimai padidėjo 2,4 proc. (11,55 tūkst. t), pardavimai vidaus rinkoje – 0,2 proc. (707 t). Analizuojamu laikotarpiu eksportas į ES šalis sumažėjo 15 proc. (23,59 tūkst. t), tačiau eksportas į trečiąsias šalis padidėjo 34,43 tūkst. t, keturis kartus (nuo 10,77 tūkst. t iki 41,18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                                                                                                     </w:t>
        <w:tab/>
        <w:t xml:space="preserve">Šaltinis:  ŽUIKVC (ŽŪMPRIS)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rtl w:val="0"/>
        </w:rPr>
      </w:r>
    </w:p>
    <w:p w:rsidR="00000000" w:rsidDel="00000000" w:rsidP="00000000" w:rsidRDefault="00000000" w:rsidRPr="00000000" w14:paraId="00000005">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