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negalutiniais duomenimis (toliau – EK), 2022 m.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dėl paukščių gripo protrūkių, išaugusių pašarų kainų, infliacijos Europos Sąjungos šalyse paukštienos gamyba sumažėjo 1 proc. ( 121 tūkst. t)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o 2023 m. turėtų padidėti 0,4 proc., paginti su 2021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ES vieno gyventojo paukštienos suvartojimas išaugs apie 1,1 proc. ir sieks 23,3 kg.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Padidėjus paukštienos paklausai, 2022 m. liepos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rugpjūčio mėn. jos kaina buvo  38 proc. aukštesnė, paliginti su 2021 m. tuo pačiu laikotarpiu. 2022 m. sausio – birželio mėn. Lenkijoje, Ispanijoje, Vokietijoje paukštienos gamyba padidėjo 4 proc., o Italijoje, Prancūzijoje ir Vengrijoje – sumažėjo net 11 proc., palyginti su 2021 m. tuo pačiu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EK prognozuoja, kad 2022 m. ES šalių paukštienos eksportas į kitas šalis gali sumažėti 2,2 proc., o 2023 m. sugrįžtu į 2021 m. lygį. Paukštienos importas į ES šalis gali padidėti  29 proc., o 2023 m.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7,7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                           </w:t>
        <w:tab/>
        <w:t xml:space="preserve">Šaltinis: thepoultysite.com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