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</w:rPr>
      </w:pPr>
      <w:bookmarkStart w:colFirst="0" w:colLast="0" w:name="_g2988jd1ytwi" w:id="0"/>
      <w:bookmarkEnd w:id="0"/>
      <w:r w:rsidDel="00000000" w:rsidR="00000000" w:rsidRPr="00000000">
        <w:rPr>
          <w:color w:val="222222"/>
          <w:sz w:val="33"/>
          <w:szCs w:val="33"/>
          <w:rtl w:val="0"/>
        </w:rPr>
        <w:t xml:space="preserve">Lietuvoje 2022 m. kovo mėnesio pradžioje labiausiai didėjo rapsų supirkimo kaina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Lietuvos grūdų supirkimo įmonėse 2022 m. 9 savaitę (02 28–03 06)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rapsai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buvo superkami vidutiniškai po 757,35 EUR/t – 6,35 proc. didesne kaina, palyginti su prieš savaitę (8 savaitę (02 21–27) buvusia kaina, bei net 81,25 proc. didesne kaina negu prieš metus (2021 m. 9 savaitę (03 01–07).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Analizuojamu laikotarpiu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kviečiai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buvo superkami vidutiniškai po 277,65 EUR/t – panašia kaina kaip ir prieš savaitę bei 32,68 proc. didesne kaina negu prieš metus.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Kvietrugių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vidutinė supirkimo kaina šių metų 9 savaitę sudarė 267,69 EUR/t – buvo taip pat panaši kaip ir praėjusią savaitę, bet 58,94 proc. didesnė, palyginti su prieš metus buvusia kaina.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Pašariniai miežiai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(II klasės) buvo superkami vidutiniškai po 239,80 EUR/t – 5,92 proc. mažesne kaina, palyginti su vasario pabaigoje buvusia kaina, bei 39,81 proc. brangiau negu prieš metus.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