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2023 m. I pusmetį Lenkijoje buvo pagaminta 1,6 mln. t paukštienos – 7 proc. daugiau nei prieš metus. Paukštienos gamybos augimą skatina didelė paklausa ES rinkoje ir augantis vidaus vartojimas, kurį labiausiai lėmė dėl karo šalyje padidėjęs ukrainiečių skaičius. Tačiau iššūkių gamintojams kelia pabrangusi gamyba ir paukščių gripo grėsmė artėjant žiemos mėnesiams. Pastaruosius keletą mėnesių dėl išaugusios pasiūlos, mažmeninės broilerių mėsos kainos šalyje sumažėjo 10 proc. Paukščių gripo protrūkiai 2023 m. sausio–gegužės mėn. labai apribojo ES šalių galimybes eksportuoti paukštieną, tačiau Lenkijai pavyko išlaikyti ES paukštienos eksporto lyderės poziciją. Apie 70 proc. produkcijos Lenkija eksportavo į ES šalis, tačiau eksportas į trečiąsias šalis šiuo laikotarpiu taip pat padidėjo 2,3 proc., iki 300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www.poultryworld.net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rtl w:val="0"/>
        </w:rPr>
      </w:r>
    </w:p>
    <w:p w:rsidR="00000000" w:rsidDel="00000000" w:rsidP="00000000" w:rsidRDefault="00000000" w:rsidRPr="00000000" w14:paraId="00000004">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