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iodr8d4omeg6" w:id="0"/>
      <w:bookmarkEnd w:id="0"/>
      <w:r w:rsidDel="00000000" w:rsidR="00000000" w:rsidRPr="00000000">
        <w:rPr>
          <w:color w:val="222222"/>
          <w:sz w:val="33"/>
          <w:szCs w:val="33"/>
          <w:rtl w:val="0"/>
        </w:rPr>
        <w:t xml:space="preserve">Europoje bus mažesnis obuolių derlius nei prognozuota anksčiau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obuolių ir kriaušių asociacija (toliau – WAPA) peržiūrėjo obuolių derliaus prognozę Europoje ir ją sumažino iki 12,076 mln. t (rugpjūčio mėn. buvo prognozuotas 12,168 mln. t derlius). To priežastimi tapo rugpjūčio mėn. buvę labai karšti orai, kurie turėjo įtakos obuolių dydžiui ir spalvai. Beveik visos Europos šalys sumažino obuolių derliaus prognozę, išskyrus Lenkiją ir Čekiją.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Kadangi buvo labai palankios gamtinės sąlygos, prognozuojama, kad obuolių derlius Lenkijoje 2022 m. bus 5–10 proc. didesnis nei prieš metus ir sudarys 4,5 mln. t. Kadangi kitose Europos šalyse obuolių derlius bus mažesnis, tai Lenkijos augintojai turės galimybę parduoti daugiau obuolių Europos rinkoje. Pastaraisiais metais Lenkijos augintojai vis daugiau obuolių eksportuoja į Egiptą, Indiją, Vietnamą Bangladešą.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rPr>
      </w:pPr>
      <w:r w:rsidDel="00000000" w:rsidR="00000000" w:rsidRPr="00000000">
        <w:rPr>
          <w:color w:val="666666"/>
          <w:sz w:val="24"/>
          <w:szCs w:val="24"/>
          <w:rtl w:val="0"/>
        </w:rPr>
        <w:t xml:space="preserve">Šaltinis:  </w:t>
      </w:r>
      <w:r w:rsidDel="00000000" w:rsidR="00000000" w:rsidRPr="00000000">
        <w:rPr>
          <w:i w:val="1"/>
          <w:color w:val="666666"/>
          <w:sz w:val="24"/>
          <w:szCs w:val="24"/>
          <w:rtl w:val="0"/>
        </w:rPr>
        <w:t xml:space="preserve">FreshPlaza</w:t>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