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 </w:t>
      </w:r>
      <w:r w:rsidDel="00000000" w:rsidR="00000000" w:rsidRPr="00000000">
        <w:rPr>
          <w:color w:val="666666"/>
          <w:sz w:val="24"/>
          <w:szCs w:val="24"/>
          <w:rtl w:val="0"/>
        </w:rPr>
        <w:t xml:space="preserve">EK duomenimis, 2023 m. sausio–balandžio mėn., paukštienos importas sudarė 280,682 tūkst. t, t. y. buvo 14,3 proc. proc. didesnis, palyginti su 2022 m. tuo pačiu laikotarpiu. Šį padidėjimą lėmė išaugęs importas iš Ukrainos, iš kurios buvo  importuota vos ne tris kartus daugiau paukštienos, t. y. 78,752  tūkst. t. Kitos pagrindinės importo partnerės analizuojamu laikotarpiu buvo Brazilija (99,435  </w:t>
      </w:r>
      <w:r w:rsidDel="00000000" w:rsidR="00000000" w:rsidRPr="00000000">
        <w:rPr>
          <w:color w:val="0c9668"/>
          <w:sz w:val="24"/>
          <w:szCs w:val="24"/>
          <w:rtl w:val="0"/>
        </w:rPr>
        <w:t xml:space="preserve">tūkst. t </w:t>
      </w:r>
      <w:r w:rsidDel="00000000" w:rsidR="00000000" w:rsidRPr="00000000">
        <w:rPr>
          <w:color w:val="666666"/>
          <w:sz w:val="24"/>
          <w:szCs w:val="24"/>
          <w:rtl w:val="0"/>
        </w:rPr>
        <w:t xml:space="preserve">arba 18,5 proc. daugiau), Tailandas (51,943 tūkst. t arba 15,9 proc. daugiau), Kinija ( 11,996 tūkst. t arba 23,1 proc. daugiau), Argentina (1,029 tūkst. t arba 12,6 proc. mažiau). Kitų šalių importas sudarė 4,181 tūkst. t – 14,0 proc. daugiau nei 2022 m. sausio–balandžio mėn.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labiausiai sumažėjo Jungtinės Karalystės paukštienos eksportas į ES (56 proc., iki 33,346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Šaltinis: EK</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