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 (toliau–EK), ES 2023 m. pagamino 14,31 mln. t paukštienos, tai 2,1 proc. daugiau nei 2022 m. ES pagaminta paukštiena išlieka paklausi pasaulyje, nes pagaminama laikantis aukštų gamybos ir aplinkos apsaugos standartų. Prognozuojama, kad 2024 m. paukštienos gamyba gali padidėti 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2023 m. sausio­­­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rugsėjo mėn., šalies paukštienos eksportas buvo 1,8 proc. mažesnis nei 2022 m. tuo pačiu laikotarpiu, o  importas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7,5 proc. didesnis. Į Jungtinę Karalystę  buvo eksportuota beveik 38,4 proc. paukštienos, likusi dalis atiteko: Ganai, Kongo Demokratinei Respublikai, Ukrainai, Beninui, Saudo Arabijai ir kitoms šalims. Per devynis 2023 m. mėnesius paukštienos eksportas į Jungtinę Karalystę padidėjo 8,8 proc., o į visas kitas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mažėjo.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Tuo pačiu laikotarpiu ES paukštienos importas padidėjo 7,5 proc.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iki 692,145 tūkst. t. Daugiausia paukštienos 2023 m. sausio–rugsėjo mėn. įvežta iš Brazilijos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32,58 proc. ir Ukrainos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26,70 proc. Likusi dalis buvo įvežta iš Jungtinės Karalystės, Tailando. Kinijos, Bosnijos – Hercegovinos ir kitų šalių.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EK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