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tngawmf4xfcy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sausio–rugsėjo mėn. kiaulių ir paršelių importas į Vokietiją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į Vokietiją kiaulių ir paršelių buvo importuota 11 proc. mažiau nei 2021 m. tuo pačiu laikotarpiu. Didžiausia eksportuotoja Danija kiaulių ir paršelių į Vokietiją eksportavo 4,489 mln. vnt. – 7 proc. mažiau, palyginti su 2021 m. sausio–rugsėjo mėn., o antra pagal dydį tiekėja Nyderlandai tuo pačiu laikotarpiu kiaulių ir paršelių eksportą sumažino 16 proc. (iki 2,933 mln. vnt.). Belgijos ir Čekijos kiaulių ir paršelių eksportas į Vokietiją analizuojamu laikotarpiu sumažėjo atitinkamai 30 proc. (iki 149 tūkst. vnt.) ir 47 proc. (iki 20 tūkst. vnt.).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AMI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